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FE" w:rsidRPr="009872D5" w:rsidRDefault="00662949" w:rsidP="00421DF7">
      <w:pPr>
        <w:pBdr>
          <w:top w:val="single" w:sz="4" w:space="1" w:color="auto" w:shadow="1"/>
          <w:left w:val="single" w:sz="4" w:space="4" w:color="auto" w:shadow="1"/>
          <w:bottom w:val="single" w:sz="4" w:space="1" w:color="auto" w:shadow="1"/>
          <w:right w:val="single" w:sz="4" w:space="1" w:color="auto" w:shadow="1"/>
        </w:pBdr>
        <w:ind w:left="-284" w:right="-710"/>
        <w:rPr>
          <w:rFonts w:ascii="Times New Roman" w:hAnsi="Times New Roman"/>
          <w:i/>
          <w:smallCaps/>
          <w:sz w:val="36"/>
          <w:szCs w:val="36"/>
        </w:rPr>
      </w:pPr>
      <w:r>
        <w:rPr>
          <w:rFonts w:ascii="Times New Roman" w:hAnsi="Times New Roman"/>
          <w:i/>
          <w:smallCaps/>
          <w:sz w:val="36"/>
          <w:szCs w:val="36"/>
        </w:rPr>
        <w:t xml:space="preserve">disciplinare per la </w:t>
      </w:r>
      <w:r w:rsidR="00B236FE" w:rsidRPr="009872D5">
        <w:rPr>
          <w:rFonts w:ascii="Times New Roman" w:hAnsi="Times New Roman"/>
          <w:i/>
          <w:smallCaps/>
          <w:sz w:val="36"/>
          <w:szCs w:val="36"/>
        </w:rPr>
        <w:t>gestione dell’albo dei fornitori di beni, prestatori di servizi ed esecutori di lavori del Consiglio regionale della Calabria</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Pr>
          <w:rFonts w:ascii="Times New Roman" w:hAnsi="Times New Roman"/>
          <w:sz w:val="28"/>
          <w:szCs w:val="28"/>
        </w:rPr>
        <w:t>Art</w:t>
      </w:r>
      <w:r w:rsidRPr="00B236FE">
        <w:rPr>
          <w:rFonts w:ascii="Times New Roman" w:hAnsi="Times New Roman"/>
          <w:sz w:val="28"/>
          <w:szCs w:val="28"/>
        </w:rPr>
        <w:t>. 1</w:t>
      </w:r>
      <w:r>
        <w:rPr>
          <w:rFonts w:ascii="Times New Roman" w:hAnsi="Times New Roman"/>
          <w:sz w:val="28"/>
          <w:szCs w:val="28"/>
        </w:rPr>
        <w:t xml:space="preserve">   </w:t>
      </w:r>
      <w:r w:rsidRPr="00B236FE">
        <w:rPr>
          <w:rFonts w:ascii="Times New Roman" w:hAnsi="Times New Roman"/>
          <w:sz w:val="28"/>
          <w:szCs w:val="28"/>
        </w:rPr>
        <w:t xml:space="preserve"> </w:t>
      </w:r>
      <w:r w:rsidRPr="00B236FE">
        <w:rPr>
          <w:rFonts w:ascii="Times New Roman" w:hAnsi="Times New Roman"/>
          <w:b/>
          <w:i/>
          <w:sz w:val="28"/>
          <w:szCs w:val="28"/>
        </w:rPr>
        <w:t>Albo dei Fornitori</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     Il Consiglio regionale della Calabria costituisce e gestisce un elenco di operatori economici, denominato “Albo Fornitori” da utilizzare ai fini dell’acquisizione di beni, forniture di servizi ed esecuzione di lavori.</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     Tale elenco sarà utilizzato nel rispetto e nei limiti di cui all’art. 36 del D. </w:t>
      </w:r>
      <w:proofErr w:type="spellStart"/>
      <w:r w:rsidRPr="00B236FE">
        <w:rPr>
          <w:rFonts w:ascii="Times New Roman" w:hAnsi="Times New Roman"/>
          <w:sz w:val="28"/>
          <w:szCs w:val="28"/>
        </w:rPr>
        <w:t>Lgs</w:t>
      </w:r>
      <w:proofErr w:type="spellEnd"/>
      <w:r w:rsidRPr="00B236FE">
        <w:rPr>
          <w:rFonts w:ascii="Times New Roman" w:hAnsi="Times New Roman"/>
          <w:sz w:val="28"/>
          <w:szCs w:val="28"/>
        </w:rPr>
        <w:t xml:space="preserve">. 50/2016, fermo restando gli obblighi di legge al ricorso alle Convenzioni CONSIP ed agli acquisti tramite il </w:t>
      </w:r>
      <w:proofErr w:type="spellStart"/>
      <w:r w:rsidRPr="00B236FE">
        <w:rPr>
          <w:rFonts w:ascii="Times New Roman" w:hAnsi="Times New Roman"/>
          <w:sz w:val="28"/>
          <w:szCs w:val="28"/>
        </w:rPr>
        <w:t>ME.PA</w:t>
      </w:r>
      <w:proofErr w:type="spellEnd"/>
      <w:r w:rsidRPr="00B236FE">
        <w:rPr>
          <w:rFonts w:ascii="Times New Roman" w:hAnsi="Times New Roman"/>
          <w:sz w:val="28"/>
          <w:szCs w:val="28"/>
        </w:rPr>
        <w:t xml:space="preserve">. </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Art. </w:t>
      </w:r>
      <w:r>
        <w:rPr>
          <w:rFonts w:ascii="Times New Roman" w:hAnsi="Times New Roman"/>
          <w:sz w:val="28"/>
          <w:szCs w:val="28"/>
        </w:rPr>
        <w:t xml:space="preserve">2  </w:t>
      </w:r>
      <w:r w:rsidRPr="00B236FE">
        <w:rPr>
          <w:rFonts w:ascii="Times New Roman" w:hAnsi="Times New Roman"/>
          <w:sz w:val="28"/>
          <w:szCs w:val="28"/>
        </w:rPr>
        <w:t xml:space="preserve"> </w:t>
      </w:r>
      <w:r w:rsidRPr="00B236FE">
        <w:rPr>
          <w:rFonts w:ascii="Times New Roman" w:hAnsi="Times New Roman"/>
          <w:b/>
          <w:i/>
          <w:sz w:val="28"/>
          <w:szCs w:val="28"/>
        </w:rPr>
        <w:t>Composizione Albo e Categorie merceologiche</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L’Albo Fornitori è strutturato in Sezioni. Riguardanti rispettivamente:</w:t>
      </w:r>
    </w:p>
    <w:p w:rsidR="00B236FE" w:rsidRPr="00B236FE" w:rsidRDefault="00B236FE" w:rsidP="00B236FE">
      <w:pPr>
        <w:numPr>
          <w:ilvl w:val="0"/>
          <w:numId w:val="1"/>
        </w:numPr>
        <w:jc w:val="both"/>
        <w:rPr>
          <w:rFonts w:ascii="Times New Roman" w:hAnsi="Times New Roman"/>
          <w:sz w:val="28"/>
          <w:szCs w:val="28"/>
        </w:rPr>
      </w:pPr>
      <w:r w:rsidRPr="00B236FE">
        <w:rPr>
          <w:rFonts w:ascii="Times New Roman" w:hAnsi="Times New Roman"/>
          <w:sz w:val="28"/>
          <w:szCs w:val="28"/>
        </w:rPr>
        <w:t>Sezione I) fornitori di beni;</w:t>
      </w:r>
    </w:p>
    <w:p w:rsidR="00B236FE" w:rsidRPr="00B236FE" w:rsidRDefault="00B236FE" w:rsidP="00B236FE">
      <w:pPr>
        <w:numPr>
          <w:ilvl w:val="0"/>
          <w:numId w:val="1"/>
        </w:numPr>
        <w:jc w:val="both"/>
        <w:rPr>
          <w:rFonts w:ascii="Times New Roman" w:hAnsi="Times New Roman"/>
          <w:sz w:val="28"/>
          <w:szCs w:val="28"/>
        </w:rPr>
      </w:pPr>
      <w:r w:rsidRPr="00B236FE">
        <w:rPr>
          <w:rFonts w:ascii="Times New Roman" w:hAnsi="Times New Roman"/>
          <w:sz w:val="28"/>
          <w:szCs w:val="28"/>
        </w:rPr>
        <w:t>Sezione II) prestatori di servizi;</w:t>
      </w:r>
    </w:p>
    <w:p w:rsidR="00B236FE" w:rsidRPr="00B236FE" w:rsidRDefault="00B236FE" w:rsidP="00B236FE">
      <w:pPr>
        <w:numPr>
          <w:ilvl w:val="0"/>
          <w:numId w:val="1"/>
        </w:numPr>
        <w:jc w:val="both"/>
        <w:rPr>
          <w:rFonts w:ascii="Times New Roman" w:hAnsi="Times New Roman"/>
          <w:sz w:val="28"/>
          <w:szCs w:val="28"/>
        </w:rPr>
      </w:pPr>
      <w:r w:rsidRPr="00B236FE">
        <w:rPr>
          <w:rFonts w:ascii="Times New Roman" w:hAnsi="Times New Roman"/>
          <w:sz w:val="28"/>
          <w:szCs w:val="28"/>
        </w:rPr>
        <w:t>Sezione III) esecutori di lavori;</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all’interno di ciascuna Sezione, lo stesso è articolato in macro-categorie merceologiche, secondo quanto risultante dall’elenco allegato (Allegato A).</w:t>
      </w:r>
    </w:p>
    <w:p w:rsidR="00B236FE" w:rsidRDefault="00B236FE" w:rsidP="00B236FE">
      <w:pPr>
        <w:jc w:val="both"/>
        <w:rPr>
          <w:rFonts w:ascii="Times New Roman" w:hAnsi="Times New Roman"/>
          <w:sz w:val="28"/>
          <w:szCs w:val="28"/>
        </w:rPr>
      </w:pPr>
    </w:p>
    <w:p w:rsid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Art. </w:t>
      </w:r>
      <w:r>
        <w:rPr>
          <w:rFonts w:ascii="Times New Roman" w:hAnsi="Times New Roman"/>
          <w:sz w:val="28"/>
          <w:szCs w:val="28"/>
        </w:rPr>
        <w:t>3</w:t>
      </w:r>
      <w:r w:rsidRPr="00B236FE">
        <w:rPr>
          <w:rFonts w:ascii="Times New Roman" w:hAnsi="Times New Roman"/>
          <w:sz w:val="28"/>
          <w:szCs w:val="28"/>
        </w:rPr>
        <w:t xml:space="preserve">  </w:t>
      </w:r>
      <w:r>
        <w:rPr>
          <w:rFonts w:ascii="Times New Roman" w:hAnsi="Times New Roman"/>
          <w:sz w:val="28"/>
          <w:szCs w:val="28"/>
        </w:rPr>
        <w:t xml:space="preserve">  </w:t>
      </w:r>
      <w:r w:rsidRPr="00B236FE">
        <w:rPr>
          <w:rFonts w:ascii="Times New Roman" w:hAnsi="Times New Roman"/>
          <w:b/>
          <w:i/>
          <w:sz w:val="28"/>
          <w:szCs w:val="28"/>
        </w:rPr>
        <w:t>Requisiti per l’iscrizione</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     Possono presentare istanza di iscrizione tutti gli operatori economici di cui all’art. 45 del D. </w:t>
      </w:r>
      <w:proofErr w:type="spellStart"/>
      <w:r w:rsidRPr="00B236FE">
        <w:rPr>
          <w:rFonts w:ascii="Times New Roman" w:hAnsi="Times New Roman"/>
          <w:sz w:val="28"/>
          <w:szCs w:val="28"/>
        </w:rPr>
        <w:t>Lgs</w:t>
      </w:r>
      <w:proofErr w:type="spellEnd"/>
      <w:r w:rsidRPr="00B236FE">
        <w:rPr>
          <w:rFonts w:ascii="Times New Roman" w:hAnsi="Times New Roman"/>
          <w:sz w:val="28"/>
          <w:szCs w:val="28"/>
        </w:rPr>
        <w:t xml:space="preserve">. 18 aprile 2016 n. 50  che non si trovino tra i motivi di esclusione indicati dall’art. 80 del medesimo D. </w:t>
      </w:r>
      <w:proofErr w:type="spellStart"/>
      <w:r w:rsidRPr="00B236FE">
        <w:rPr>
          <w:rFonts w:ascii="Times New Roman" w:hAnsi="Times New Roman"/>
          <w:sz w:val="28"/>
          <w:szCs w:val="28"/>
        </w:rPr>
        <w:t>Lgs</w:t>
      </w:r>
      <w:proofErr w:type="spellEnd"/>
      <w:r w:rsidRPr="00B236FE">
        <w:rPr>
          <w:rFonts w:ascii="Times New Roman" w:hAnsi="Times New Roman"/>
          <w:sz w:val="28"/>
          <w:szCs w:val="28"/>
        </w:rPr>
        <w:t>.</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     Gli operatori economici, inoltre non devono essere incorsi, negli ultimi tre anni, in risoluzione per inadempimento di contratti per forniture, servizi e lavori analoghi alle categorie merceologiche per cui si richiede la partecipazione.</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     Gli stessi operatori economici devono essere in possesso della firma elettronica digitale e della casella di posta elettronica certificata.</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b/>
          <w:i/>
          <w:sz w:val="28"/>
          <w:szCs w:val="28"/>
        </w:rPr>
      </w:pPr>
      <w:r w:rsidRPr="00B236FE">
        <w:rPr>
          <w:rFonts w:ascii="Times New Roman" w:hAnsi="Times New Roman"/>
          <w:sz w:val="28"/>
          <w:szCs w:val="28"/>
        </w:rPr>
        <w:t>A</w:t>
      </w:r>
      <w:r>
        <w:rPr>
          <w:rFonts w:ascii="Times New Roman" w:hAnsi="Times New Roman"/>
          <w:sz w:val="28"/>
          <w:szCs w:val="28"/>
        </w:rPr>
        <w:t>rt</w:t>
      </w:r>
      <w:r w:rsidRPr="00B236FE">
        <w:rPr>
          <w:rFonts w:ascii="Times New Roman" w:hAnsi="Times New Roman"/>
          <w:sz w:val="28"/>
          <w:szCs w:val="28"/>
        </w:rPr>
        <w:t xml:space="preserve">. </w:t>
      </w:r>
      <w:r>
        <w:rPr>
          <w:rFonts w:ascii="Times New Roman" w:hAnsi="Times New Roman"/>
          <w:sz w:val="28"/>
          <w:szCs w:val="28"/>
        </w:rPr>
        <w:t>4</w:t>
      </w:r>
      <w:r w:rsidRPr="00B236FE">
        <w:rPr>
          <w:rFonts w:ascii="Times New Roman" w:hAnsi="Times New Roman"/>
          <w:sz w:val="28"/>
          <w:szCs w:val="28"/>
        </w:rPr>
        <w:t xml:space="preserve"> </w:t>
      </w:r>
      <w:r>
        <w:rPr>
          <w:rFonts w:ascii="Times New Roman" w:hAnsi="Times New Roman"/>
          <w:sz w:val="28"/>
          <w:szCs w:val="28"/>
        </w:rPr>
        <w:t xml:space="preserve">  </w:t>
      </w:r>
      <w:r w:rsidRPr="00B236FE">
        <w:rPr>
          <w:rFonts w:ascii="Times New Roman" w:hAnsi="Times New Roman"/>
          <w:sz w:val="28"/>
          <w:szCs w:val="28"/>
        </w:rPr>
        <w:t xml:space="preserve"> </w:t>
      </w:r>
      <w:r w:rsidRPr="00B236FE">
        <w:rPr>
          <w:rFonts w:ascii="Times New Roman" w:hAnsi="Times New Roman"/>
          <w:b/>
          <w:i/>
          <w:sz w:val="28"/>
          <w:szCs w:val="28"/>
        </w:rPr>
        <w:t xml:space="preserve">Procedura per la formazione dell’elenco di operatori economici  </w:t>
      </w:r>
    </w:p>
    <w:p w:rsidR="00B236FE" w:rsidRPr="00B236FE" w:rsidRDefault="00B236FE" w:rsidP="00B236FE">
      <w:pPr>
        <w:jc w:val="both"/>
        <w:rPr>
          <w:rFonts w:ascii="Times New Roman" w:hAnsi="Times New Roman"/>
          <w:b/>
          <w:i/>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   Ai fini della iscrizione è necessario produrre la documentazione di seguito elencata:</w:t>
      </w:r>
    </w:p>
    <w:p w:rsidR="00B236FE" w:rsidRPr="00B236FE" w:rsidRDefault="00B236FE" w:rsidP="00B236FE">
      <w:pPr>
        <w:jc w:val="both"/>
        <w:rPr>
          <w:rFonts w:ascii="Times New Roman" w:hAnsi="Times New Roman"/>
          <w:sz w:val="28"/>
          <w:szCs w:val="28"/>
        </w:rPr>
      </w:pPr>
      <w:r w:rsidRPr="00B236FE">
        <w:rPr>
          <w:rFonts w:ascii="Times New Roman" w:hAnsi="Times New Roman"/>
          <w:b/>
          <w:sz w:val="28"/>
          <w:szCs w:val="28"/>
        </w:rPr>
        <w:t>I Domanda di iscrizione</w:t>
      </w:r>
      <w:r w:rsidRPr="00B236FE">
        <w:rPr>
          <w:rFonts w:ascii="Times New Roman" w:hAnsi="Times New Roman"/>
          <w:sz w:val="28"/>
          <w:szCs w:val="28"/>
        </w:rPr>
        <w:t xml:space="preserve">:  la domanda, redatta sul modello allegato e che si identifica quale Modulistica – Allegato B”, a </w:t>
      </w:r>
      <w:r w:rsidRPr="00B236FE">
        <w:rPr>
          <w:rFonts w:ascii="Times New Roman" w:hAnsi="Times New Roman"/>
          <w:b/>
          <w:sz w:val="28"/>
          <w:szCs w:val="28"/>
        </w:rPr>
        <w:t>pena di esclusione</w:t>
      </w:r>
      <w:r w:rsidRPr="00B236FE">
        <w:rPr>
          <w:rFonts w:ascii="Times New Roman" w:hAnsi="Times New Roman"/>
          <w:sz w:val="28"/>
          <w:szCs w:val="28"/>
        </w:rPr>
        <w:t xml:space="preserve">, dovrà essere sottoscritta dal legale rappresentante del richiedente e corredata di copia fotostatica non autenticata di un documento di identità del sottoscrittore;  la domanda può essere sottoscritta anche da un procuratore del legale rappresentante ed in tal caso va allegata, </w:t>
      </w:r>
      <w:r w:rsidRPr="00B236FE">
        <w:rPr>
          <w:rFonts w:ascii="Times New Roman" w:hAnsi="Times New Roman"/>
          <w:b/>
          <w:sz w:val="28"/>
          <w:szCs w:val="28"/>
        </w:rPr>
        <w:t>a pena di esclusione</w:t>
      </w:r>
      <w:r w:rsidRPr="00B236FE">
        <w:rPr>
          <w:rFonts w:ascii="Times New Roman" w:hAnsi="Times New Roman"/>
          <w:sz w:val="28"/>
          <w:szCs w:val="28"/>
        </w:rPr>
        <w:t>, copia conforme all’originale della relativa procura. La precitata domanda dovrà inoltre contenere il nominativo, l’indirizzo, il numero di fax e indirizzo di posta elettronica certificata del soggetto cui questa Amministrazione invierà ogni comunicazione.</w:t>
      </w:r>
    </w:p>
    <w:p w:rsidR="00B236FE" w:rsidRPr="00B236FE" w:rsidRDefault="00B236FE" w:rsidP="00B236FE">
      <w:pPr>
        <w:jc w:val="both"/>
        <w:rPr>
          <w:rFonts w:ascii="Times New Roman" w:hAnsi="Times New Roman"/>
          <w:sz w:val="28"/>
          <w:szCs w:val="28"/>
        </w:rPr>
      </w:pPr>
      <w:r w:rsidRPr="00B236FE">
        <w:rPr>
          <w:rFonts w:ascii="Times New Roman" w:hAnsi="Times New Roman"/>
          <w:b/>
          <w:sz w:val="28"/>
          <w:szCs w:val="28"/>
        </w:rPr>
        <w:t xml:space="preserve">II Copia fotostatica del documento di identità personale </w:t>
      </w:r>
      <w:r w:rsidRPr="00B236FE">
        <w:rPr>
          <w:rFonts w:ascii="Times New Roman" w:hAnsi="Times New Roman"/>
          <w:sz w:val="28"/>
          <w:szCs w:val="28"/>
        </w:rPr>
        <w:t>in corso di validità del Legale Rappresentante, debitamente sottoscritta.</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lastRenderedPageBreak/>
        <w:t xml:space="preserve">La suddetta documentazione dovrà essere racchiusa, </w:t>
      </w:r>
      <w:r w:rsidRPr="00B236FE">
        <w:rPr>
          <w:rFonts w:ascii="Times New Roman" w:hAnsi="Times New Roman"/>
          <w:b/>
          <w:sz w:val="28"/>
          <w:szCs w:val="28"/>
        </w:rPr>
        <w:t xml:space="preserve">a pena di esclusione, </w:t>
      </w:r>
      <w:r w:rsidRPr="00B236FE">
        <w:rPr>
          <w:rFonts w:ascii="Times New Roman" w:hAnsi="Times New Roman"/>
          <w:sz w:val="28"/>
          <w:szCs w:val="28"/>
        </w:rPr>
        <w:t xml:space="preserve">in apposita busta sigillata e controfirmata sui lembi di chiusura dal legale rappresentante dell’operatore economico partecipante e recante all’esterno la dicitura “DOMANDA </w:t>
      </w:r>
      <w:proofErr w:type="spellStart"/>
      <w:r w:rsidRPr="00B236FE">
        <w:rPr>
          <w:rFonts w:ascii="Times New Roman" w:hAnsi="Times New Roman"/>
          <w:sz w:val="28"/>
          <w:szCs w:val="28"/>
        </w:rPr>
        <w:t>DI</w:t>
      </w:r>
      <w:proofErr w:type="spellEnd"/>
      <w:r w:rsidRPr="00B236FE">
        <w:rPr>
          <w:rFonts w:ascii="Times New Roman" w:hAnsi="Times New Roman"/>
          <w:sz w:val="28"/>
          <w:szCs w:val="28"/>
        </w:rPr>
        <w:t xml:space="preserve"> ISCRIZIONE ALL’ALBO FORNITORI DEL CONSIGLIO REGIONALE DELLA CALABRIA”, la Sezione e la Categoria per cui si richiede l’iscrizione, la denominazione, la sede legale ed i recapiti dell’operatore economico.</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Il piego dovrà essere indirizzato a:</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Consiglio regionale della Calabria, Servizio Provveditorato, Economato e Contratti</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Via Cardinale </w:t>
      </w:r>
      <w:proofErr w:type="spellStart"/>
      <w:r w:rsidRPr="00B236FE">
        <w:rPr>
          <w:rFonts w:ascii="Times New Roman" w:hAnsi="Times New Roman"/>
          <w:sz w:val="28"/>
          <w:szCs w:val="28"/>
        </w:rPr>
        <w:t>Portanova</w:t>
      </w:r>
      <w:proofErr w:type="spellEnd"/>
      <w:r w:rsidRPr="00B236FE">
        <w:rPr>
          <w:rFonts w:ascii="Times New Roman" w:hAnsi="Times New Roman"/>
          <w:sz w:val="28"/>
          <w:szCs w:val="28"/>
        </w:rPr>
        <w:t xml:space="preserve"> snc – 89123 Reggio Calabria.</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Il piego in oggetto dovrà pervenire a destinazione entro il termine delle ore 12,00 del giorno 20 giugno per l’aggiornamento relativo al </w:t>
      </w:r>
      <w:proofErr w:type="spellStart"/>
      <w:r w:rsidRPr="00B236FE">
        <w:rPr>
          <w:rFonts w:ascii="Times New Roman" w:hAnsi="Times New Roman"/>
          <w:sz w:val="28"/>
          <w:szCs w:val="28"/>
        </w:rPr>
        <w:t>I°</w:t>
      </w:r>
      <w:proofErr w:type="spellEnd"/>
      <w:r w:rsidRPr="00B236FE">
        <w:rPr>
          <w:rFonts w:ascii="Times New Roman" w:hAnsi="Times New Roman"/>
          <w:sz w:val="28"/>
          <w:szCs w:val="28"/>
        </w:rPr>
        <w:t xml:space="preserve"> semestre dell’anno e del giorno 20 dicembre per l’aggiornamento relativo al </w:t>
      </w:r>
      <w:proofErr w:type="spellStart"/>
      <w:r w:rsidRPr="00B236FE">
        <w:rPr>
          <w:rFonts w:ascii="Times New Roman" w:hAnsi="Times New Roman"/>
          <w:sz w:val="28"/>
          <w:szCs w:val="28"/>
        </w:rPr>
        <w:t>II°</w:t>
      </w:r>
      <w:proofErr w:type="spellEnd"/>
      <w:r w:rsidRPr="00B236FE">
        <w:rPr>
          <w:rFonts w:ascii="Times New Roman" w:hAnsi="Times New Roman"/>
          <w:sz w:val="28"/>
          <w:szCs w:val="28"/>
        </w:rPr>
        <w:t xml:space="preserve"> semestre  mediante Raccomandata postale o agenzia di recapito autorizzata o consegna a mano nelle ore di ufficio.</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Farà fede esclusivamente l’apposita ricevuta/timbro apposta dall’Ufficio Protocollo del Consiglio regionale della Calabria, del giorno e dell’ora di arrivo del piego.</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L’amministrazione non assume alcuna responsabilità circa eventuali ritardi dovuti a disservizi degli incaricati alla consegna.</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Il recapito dei pieghi, indipendentemente dalla modalità utilizzata, rimane ad esclusivo rischio dei partecipanti.</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L’Amministrazione nominerà, semestralmente, un’apposita Commissione incaricata di verificare l’integrità dei pieghi e la completezza delle domande di partecipazione al fine dell’inserimento nell’Albo. </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A</w:t>
      </w:r>
      <w:r>
        <w:rPr>
          <w:rFonts w:ascii="Times New Roman" w:hAnsi="Times New Roman"/>
          <w:sz w:val="28"/>
          <w:szCs w:val="28"/>
        </w:rPr>
        <w:t>rt</w:t>
      </w:r>
      <w:r w:rsidRPr="00B236FE">
        <w:rPr>
          <w:rFonts w:ascii="Times New Roman" w:hAnsi="Times New Roman"/>
          <w:sz w:val="28"/>
          <w:szCs w:val="28"/>
        </w:rPr>
        <w:t xml:space="preserve">. </w:t>
      </w:r>
      <w:r>
        <w:rPr>
          <w:rFonts w:ascii="Times New Roman" w:hAnsi="Times New Roman"/>
          <w:sz w:val="28"/>
          <w:szCs w:val="28"/>
        </w:rPr>
        <w:t xml:space="preserve">5   </w:t>
      </w:r>
      <w:r w:rsidRPr="00B236FE">
        <w:rPr>
          <w:rFonts w:ascii="Times New Roman" w:hAnsi="Times New Roman"/>
          <w:sz w:val="28"/>
          <w:szCs w:val="28"/>
        </w:rPr>
        <w:t xml:space="preserve"> </w:t>
      </w:r>
      <w:r w:rsidRPr="00B236FE">
        <w:rPr>
          <w:rFonts w:ascii="Times New Roman" w:hAnsi="Times New Roman"/>
          <w:b/>
          <w:i/>
          <w:sz w:val="28"/>
          <w:szCs w:val="28"/>
        </w:rPr>
        <w:t>Durata e aggiornamento</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lastRenderedPageBreak/>
        <w:t xml:space="preserve">      L’albo fornitori avrà durata triennale, più precisamente avrà validità nel triennio 2018/2020.</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     Al termine del suddetto triennio tutti gli operatori economici iscritti saranno invitati a dichiarare la permanenza dei requisiti richiesti all’atto dell’iscrizione, con cancellazione automatica di tutti coloro che, nel termine di 60 giorni, non risponderanno all’invito che sarà reso pubblico con le medesime modalità previste per la prima iscrizione.</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     Sono previsti aggiornamenti con cadenza semestrale, tenendo conto delle nuove istanze che perverranno entro il 30 giugno ed entro il 31 dicembre di ciascun anno. Gli aggiornamenti verranno effettuati entro la fine del mese successivo ai predetti termini. </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A</w:t>
      </w:r>
      <w:r>
        <w:rPr>
          <w:rFonts w:ascii="Times New Roman" w:hAnsi="Times New Roman"/>
          <w:sz w:val="28"/>
          <w:szCs w:val="28"/>
        </w:rPr>
        <w:t>rt</w:t>
      </w:r>
      <w:r w:rsidRPr="00B236FE">
        <w:rPr>
          <w:rFonts w:ascii="Times New Roman" w:hAnsi="Times New Roman"/>
          <w:sz w:val="28"/>
          <w:szCs w:val="28"/>
        </w:rPr>
        <w:t xml:space="preserve">. </w:t>
      </w:r>
      <w:r>
        <w:rPr>
          <w:rFonts w:ascii="Times New Roman" w:hAnsi="Times New Roman"/>
          <w:sz w:val="28"/>
          <w:szCs w:val="28"/>
        </w:rPr>
        <w:t>6</w:t>
      </w:r>
      <w:r w:rsidRPr="00B236FE">
        <w:rPr>
          <w:rFonts w:ascii="Times New Roman" w:hAnsi="Times New Roman"/>
          <w:sz w:val="28"/>
          <w:szCs w:val="28"/>
        </w:rPr>
        <w:t xml:space="preserve"> </w:t>
      </w:r>
      <w:r>
        <w:rPr>
          <w:rFonts w:ascii="Times New Roman" w:hAnsi="Times New Roman"/>
          <w:sz w:val="28"/>
          <w:szCs w:val="28"/>
        </w:rPr>
        <w:t xml:space="preserve">   </w:t>
      </w:r>
      <w:r w:rsidRPr="00B236FE">
        <w:rPr>
          <w:rFonts w:ascii="Times New Roman" w:hAnsi="Times New Roman"/>
          <w:b/>
          <w:i/>
          <w:sz w:val="28"/>
          <w:szCs w:val="28"/>
        </w:rPr>
        <w:t>Selezione degli operatori</w:t>
      </w:r>
      <w:r w:rsidRPr="00B236FE">
        <w:rPr>
          <w:rFonts w:ascii="Times New Roman" w:hAnsi="Times New Roman"/>
          <w:sz w:val="28"/>
          <w:szCs w:val="28"/>
        </w:rPr>
        <w:t xml:space="preserve"> </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Ove non ricorrano le condizioni per il ricorso al MEPA o non vi siano Convenzioni </w:t>
      </w:r>
      <w:proofErr w:type="spellStart"/>
      <w:r w:rsidRPr="00B236FE">
        <w:rPr>
          <w:rFonts w:ascii="Times New Roman" w:hAnsi="Times New Roman"/>
          <w:sz w:val="28"/>
          <w:szCs w:val="28"/>
        </w:rPr>
        <w:t>Consip</w:t>
      </w:r>
      <w:proofErr w:type="spellEnd"/>
      <w:r w:rsidRPr="00B236FE">
        <w:rPr>
          <w:rFonts w:ascii="Times New Roman" w:hAnsi="Times New Roman"/>
          <w:sz w:val="28"/>
          <w:szCs w:val="28"/>
        </w:rPr>
        <w:t xml:space="preserve"> attive, la scelta degli operatori economici da invitare alle procedure di affidamento per la fornitura di beni, la prestazione di servizi o l’esecuzione di lavori avverrà seguendo il criterio della rotazione sulla base dell’ordine cronologico di arrivo delle domande di partecipazione, corrispondente alla data ed al numero di Protocollo attribuito dall’Amministrazione e sempre nel rispetto dei principi di trasparenza, correttezza e parità di trattamento.</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E’ prevista la facoltà, in via eccezionale e su proposta motivata del Settore/Servizio procedente, di invitare anche operatori economici di provata e notoria idoneità, non iscritti all’Albo ove ricorrano ragioni di necessità o convenienza legate alla natura o alle caratteristiche del bene da acquistare, del servizio o del lavoro da eseguire.</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L’iscrizione all’Albo non comporta l’affidamento di alcun contratto, non implica diritti o aspettative di sorta a favore dell’operatore economico, né </w:t>
      </w:r>
      <w:proofErr w:type="spellStart"/>
      <w:r w:rsidRPr="00B236FE">
        <w:rPr>
          <w:rFonts w:ascii="Times New Roman" w:hAnsi="Times New Roman"/>
          <w:sz w:val="28"/>
          <w:szCs w:val="28"/>
        </w:rPr>
        <w:t>costitutisce</w:t>
      </w:r>
      <w:proofErr w:type="spellEnd"/>
      <w:r w:rsidRPr="00B236FE">
        <w:rPr>
          <w:rFonts w:ascii="Times New Roman" w:hAnsi="Times New Roman"/>
          <w:sz w:val="28"/>
          <w:szCs w:val="28"/>
        </w:rPr>
        <w:t xml:space="preserve"> titolo per pretendere alcun affidamento.</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lastRenderedPageBreak/>
        <w:t>Tutti gli operatori economici, che in date antecedenti abbiano già  formulato richieste di iscrizione all’Albo, sono in facoltà di riproporre la propria iscrizione con le modalità sopra indicate considerato che si terrà conto , negli affidamenti a venire, solo delle istanze presentate seguendo le suddette istruzioni.</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b/>
          <w:i/>
          <w:sz w:val="28"/>
          <w:szCs w:val="28"/>
        </w:rPr>
      </w:pPr>
      <w:r w:rsidRPr="00B236FE">
        <w:rPr>
          <w:rFonts w:ascii="Times New Roman" w:hAnsi="Times New Roman"/>
          <w:sz w:val="28"/>
          <w:szCs w:val="28"/>
        </w:rPr>
        <w:t>A</w:t>
      </w:r>
      <w:r>
        <w:rPr>
          <w:rFonts w:ascii="Times New Roman" w:hAnsi="Times New Roman"/>
          <w:sz w:val="28"/>
          <w:szCs w:val="28"/>
        </w:rPr>
        <w:t>rt</w:t>
      </w:r>
      <w:r w:rsidRPr="00B236FE">
        <w:rPr>
          <w:rFonts w:ascii="Times New Roman" w:hAnsi="Times New Roman"/>
          <w:sz w:val="28"/>
          <w:szCs w:val="28"/>
        </w:rPr>
        <w:t>.</w:t>
      </w:r>
      <w:r>
        <w:rPr>
          <w:rFonts w:ascii="Times New Roman" w:hAnsi="Times New Roman"/>
          <w:sz w:val="28"/>
          <w:szCs w:val="28"/>
        </w:rPr>
        <w:t xml:space="preserve"> 7</w:t>
      </w:r>
      <w:r w:rsidRPr="00B236FE">
        <w:rPr>
          <w:rFonts w:ascii="Times New Roman" w:hAnsi="Times New Roman"/>
          <w:sz w:val="28"/>
          <w:szCs w:val="28"/>
        </w:rPr>
        <w:t xml:space="preserve"> </w:t>
      </w:r>
      <w:r>
        <w:rPr>
          <w:rFonts w:ascii="Times New Roman" w:hAnsi="Times New Roman"/>
          <w:sz w:val="28"/>
          <w:szCs w:val="28"/>
        </w:rPr>
        <w:t xml:space="preserve">   </w:t>
      </w:r>
      <w:r w:rsidRPr="00B236FE">
        <w:rPr>
          <w:rFonts w:ascii="Times New Roman" w:hAnsi="Times New Roman"/>
          <w:b/>
          <w:i/>
          <w:sz w:val="28"/>
          <w:szCs w:val="28"/>
        </w:rPr>
        <w:t xml:space="preserve">Cancellazione </w:t>
      </w:r>
    </w:p>
    <w:p w:rsidR="00B236FE" w:rsidRPr="00B236FE" w:rsidRDefault="00B236FE" w:rsidP="00B236FE">
      <w:pPr>
        <w:jc w:val="both"/>
        <w:rPr>
          <w:rFonts w:ascii="Times New Roman" w:hAnsi="Times New Roman"/>
          <w:sz w:val="28"/>
          <w:szCs w:val="28"/>
        </w:rPr>
      </w:pP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La cancellazione degli operatori economici dall’Albo avverrà nei seguenti casi:</w:t>
      </w:r>
    </w:p>
    <w:p w:rsidR="00B236FE" w:rsidRPr="00B236FE" w:rsidRDefault="00B236FE" w:rsidP="00B236FE">
      <w:pPr>
        <w:numPr>
          <w:ilvl w:val="0"/>
          <w:numId w:val="2"/>
        </w:numPr>
        <w:jc w:val="both"/>
        <w:rPr>
          <w:rFonts w:ascii="Times New Roman" w:hAnsi="Times New Roman"/>
          <w:sz w:val="28"/>
          <w:szCs w:val="28"/>
        </w:rPr>
      </w:pPr>
      <w:r w:rsidRPr="00B236FE">
        <w:rPr>
          <w:rFonts w:ascii="Times New Roman" w:hAnsi="Times New Roman"/>
          <w:sz w:val="28"/>
          <w:szCs w:val="28"/>
        </w:rPr>
        <w:t>Richiesta di cancellazione da parte dell’interessato;</w:t>
      </w:r>
    </w:p>
    <w:p w:rsidR="00B236FE" w:rsidRPr="00B236FE" w:rsidRDefault="00B236FE" w:rsidP="00B236FE">
      <w:pPr>
        <w:numPr>
          <w:ilvl w:val="0"/>
          <w:numId w:val="2"/>
        </w:numPr>
        <w:jc w:val="both"/>
        <w:rPr>
          <w:rFonts w:ascii="Times New Roman" w:hAnsi="Times New Roman"/>
          <w:sz w:val="28"/>
          <w:szCs w:val="28"/>
        </w:rPr>
      </w:pPr>
      <w:r w:rsidRPr="00B236FE">
        <w:rPr>
          <w:rFonts w:ascii="Times New Roman" w:hAnsi="Times New Roman"/>
          <w:sz w:val="28"/>
          <w:szCs w:val="28"/>
        </w:rPr>
        <w:t>irregolarità o gravi negligenze accertate nell’esecuzione della prestazione;</w:t>
      </w:r>
    </w:p>
    <w:p w:rsidR="00B236FE" w:rsidRPr="00B236FE" w:rsidRDefault="00B236FE" w:rsidP="00B236FE">
      <w:pPr>
        <w:numPr>
          <w:ilvl w:val="0"/>
          <w:numId w:val="2"/>
        </w:numPr>
        <w:jc w:val="both"/>
        <w:rPr>
          <w:rFonts w:ascii="Times New Roman" w:hAnsi="Times New Roman"/>
          <w:sz w:val="28"/>
          <w:szCs w:val="28"/>
        </w:rPr>
      </w:pPr>
      <w:r w:rsidRPr="00B236FE">
        <w:rPr>
          <w:rFonts w:ascii="Times New Roman" w:hAnsi="Times New Roman"/>
          <w:sz w:val="28"/>
          <w:szCs w:val="28"/>
        </w:rPr>
        <w:t>mancata presentazione di offerte agli inviti dell’Amministrazione per tre volte consecutive senza che sia fornita alcuna giustificazione scritta;</w:t>
      </w:r>
    </w:p>
    <w:p w:rsidR="00B236FE" w:rsidRPr="00B236FE" w:rsidRDefault="00B236FE" w:rsidP="00B236FE">
      <w:pPr>
        <w:numPr>
          <w:ilvl w:val="0"/>
          <w:numId w:val="2"/>
        </w:numPr>
        <w:jc w:val="both"/>
        <w:rPr>
          <w:rFonts w:ascii="Times New Roman" w:hAnsi="Times New Roman"/>
          <w:sz w:val="28"/>
          <w:szCs w:val="28"/>
        </w:rPr>
      </w:pPr>
      <w:r w:rsidRPr="00B236FE">
        <w:rPr>
          <w:rFonts w:ascii="Times New Roman" w:hAnsi="Times New Roman"/>
          <w:sz w:val="28"/>
          <w:szCs w:val="28"/>
        </w:rPr>
        <w:t>accertata carenza dei requisiti di iscrizione verificati in occasione dell’affidamento o di eventuale verifica a campione che l’Amministrazione potrà in qualsiasi momento disporre;</w:t>
      </w:r>
    </w:p>
    <w:p w:rsidR="00B236FE" w:rsidRPr="00B236FE" w:rsidRDefault="00B236FE" w:rsidP="00B236FE">
      <w:pPr>
        <w:numPr>
          <w:ilvl w:val="0"/>
          <w:numId w:val="2"/>
        </w:numPr>
        <w:jc w:val="both"/>
        <w:rPr>
          <w:rFonts w:ascii="Times New Roman" w:hAnsi="Times New Roman"/>
          <w:sz w:val="28"/>
          <w:szCs w:val="28"/>
        </w:rPr>
      </w:pPr>
      <w:r w:rsidRPr="00B236FE">
        <w:rPr>
          <w:rFonts w:ascii="Times New Roman" w:hAnsi="Times New Roman"/>
          <w:sz w:val="28"/>
          <w:szCs w:val="28"/>
        </w:rPr>
        <w:t>esistenza di un contenzioso, anche di natura amministrativa, con l’Amministrazione.</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Il provvedimento di cancellazione potrà essere adottato dal Dirigente del Settore Provveditorato Economato e Contratti e verrà comunicato all’operatore economico interessato il quale avrà un termine di 10 (dieci) giorni, decorrenti dalla data di ricevimento, per presentare controdeduzioni.</w:t>
      </w:r>
    </w:p>
    <w:p w:rsidR="00B236FE" w:rsidRPr="00B236FE" w:rsidRDefault="00B236FE" w:rsidP="00B236FE">
      <w:pPr>
        <w:jc w:val="both"/>
        <w:rPr>
          <w:rFonts w:ascii="Times New Roman" w:hAnsi="Times New Roman"/>
          <w:sz w:val="28"/>
          <w:szCs w:val="28"/>
        </w:rPr>
      </w:pPr>
      <w:r w:rsidRPr="00B236FE">
        <w:rPr>
          <w:rFonts w:ascii="Times New Roman" w:hAnsi="Times New Roman"/>
          <w:sz w:val="28"/>
          <w:szCs w:val="28"/>
        </w:rPr>
        <w:t xml:space="preserve">L’atto di cancellazione avrà efficacia </w:t>
      </w:r>
      <w:proofErr w:type="spellStart"/>
      <w:r w:rsidRPr="00B236FE">
        <w:rPr>
          <w:rFonts w:ascii="Times New Roman" w:hAnsi="Times New Roman"/>
          <w:sz w:val="28"/>
          <w:szCs w:val="28"/>
        </w:rPr>
        <w:t>interdittiva</w:t>
      </w:r>
      <w:proofErr w:type="spellEnd"/>
      <w:r w:rsidRPr="00B236FE">
        <w:rPr>
          <w:rFonts w:ascii="Times New Roman" w:hAnsi="Times New Roman"/>
          <w:sz w:val="28"/>
          <w:szCs w:val="28"/>
        </w:rPr>
        <w:t xml:space="preserve"> annuale, trascorso tale periodo sarà in facoltà dell’operatore economico reiterare la propria domanda di iscrizione.</w:t>
      </w:r>
    </w:p>
    <w:p w:rsidR="00B236FE" w:rsidRPr="00B236FE" w:rsidRDefault="00B236FE" w:rsidP="00B236FE">
      <w:pPr>
        <w:jc w:val="both"/>
        <w:rPr>
          <w:rFonts w:ascii="Times New Roman" w:hAnsi="Times New Roman"/>
          <w:sz w:val="28"/>
          <w:szCs w:val="28"/>
        </w:rPr>
      </w:pPr>
    </w:p>
    <w:p w:rsidR="00A56BC5" w:rsidRPr="00A56BC5" w:rsidRDefault="00A56BC5" w:rsidP="00A56BC5">
      <w:pPr>
        <w:jc w:val="both"/>
        <w:rPr>
          <w:rFonts w:ascii="Times New Roman" w:hAnsi="Times New Roman"/>
          <w:b/>
          <w:i/>
          <w:sz w:val="28"/>
          <w:szCs w:val="28"/>
        </w:rPr>
      </w:pPr>
      <w:r w:rsidRPr="00987DD0">
        <w:rPr>
          <w:rFonts w:ascii="Times New Roman" w:hAnsi="Times New Roman"/>
          <w:sz w:val="28"/>
          <w:szCs w:val="28"/>
        </w:rPr>
        <w:t>A</w:t>
      </w:r>
      <w:r>
        <w:rPr>
          <w:rFonts w:ascii="Times New Roman" w:hAnsi="Times New Roman"/>
          <w:sz w:val="28"/>
          <w:szCs w:val="28"/>
        </w:rPr>
        <w:t>rt</w:t>
      </w:r>
      <w:r w:rsidRPr="00987DD0">
        <w:rPr>
          <w:rFonts w:ascii="Times New Roman" w:hAnsi="Times New Roman"/>
          <w:sz w:val="28"/>
          <w:szCs w:val="28"/>
        </w:rPr>
        <w:t xml:space="preserve">. </w:t>
      </w:r>
      <w:r>
        <w:rPr>
          <w:rFonts w:ascii="Times New Roman" w:hAnsi="Times New Roman"/>
          <w:sz w:val="28"/>
          <w:szCs w:val="28"/>
        </w:rPr>
        <w:t xml:space="preserve">8   </w:t>
      </w:r>
      <w:r w:rsidRPr="00A56BC5">
        <w:rPr>
          <w:rFonts w:ascii="Times New Roman" w:hAnsi="Times New Roman"/>
          <w:b/>
          <w:i/>
          <w:sz w:val="28"/>
          <w:szCs w:val="28"/>
        </w:rPr>
        <w:t>Tutela della privacy</w:t>
      </w:r>
    </w:p>
    <w:p w:rsidR="00A56BC5" w:rsidRDefault="00A56BC5" w:rsidP="00A56BC5">
      <w:pPr>
        <w:jc w:val="both"/>
        <w:rPr>
          <w:rFonts w:ascii="Times New Roman" w:hAnsi="Times New Roman"/>
          <w:sz w:val="28"/>
          <w:szCs w:val="28"/>
        </w:rPr>
      </w:pPr>
    </w:p>
    <w:p w:rsidR="00A56BC5" w:rsidRDefault="00A56BC5" w:rsidP="00A56BC5">
      <w:pPr>
        <w:jc w:val="both"/>
        <w:rPr>
          <w:rFonts w:ascii="Times New Roman" w:hAnsi="Times New Roman"/>
          <w:sz w:val="24"/>
          <w:szCs w:val="24"/>
        </w:rPr>
      </w:pPr>
      <w:r>
        <w:rPr>
          <w:rFonts w:ascii="Times New Roman" w:hAnsi="Times New Roman"/>
          <w:sz w:val="24"/>
          <w:szCs w:val="24"/>
        </w:rPr>
        <w:t xml:space="preserve">Ai sensi dell’art. 13, comma 1, </w:t>
      </w:r>
      <w:proofErr w:type="spellStart"/>
      <w:r>
        <w:rPr>
          <w:rFonts w:ascii="Times New Roman" w:hAnsi="Times New Roman"/>
          <w:sz w:val="24"/>
          <w:szCs w:val="24"/>
        </w:rPr>
        <w:t>D.Lgs.</w:t>
      </w:r>
      <w:proofErr w:type="spellEnd"/>
      <w:r>
        <w:rPr>
          <w:rFonts w:ascii="Times New Roman" w:hAnsi="Times New Roman"/>
          <w:sz w:val="24"/>
          <w:szCs w:val="24"/>
        </w:rPr>
        <w:t xml:space="preserve"> 196/2003 si informa che:</w:t>
      </w:r>
    </w:p>
    <w:p w:rsidR="00A56BC5" w:rsidRDefault="00A56BC5" w:rsidP="00A56BC5">
      <w:pPr>
        <w:numPr>
          <w:ilvl w:val="0"/>
          <w:numId w:val="3"/>
        </w:numPr>
        <w:jc w:val="both"/>
        <w:rPr>
          <w:rFonts w:ascii="Times New Roman" w:hAnsi="Times New Roman"/>
          <w:sz w:val="24"/>
          <w:szCs w:val="24"/>
        </w:rPr>
      </w:pPr>
      <w:r>
        <w:rPr>
          <w:rFonts w:ascii="Times New Roman" w:hAnsi="Times New Roman"/>
          <w:sz w:val="24"/>
          <w:szCs w:val="24"/>
        </w:rPr>
        <w:t>le finalità cui sono destinati i dati raccolti sono riferite all’individuazione degli operatori economici che dovranno eseguire la fornitura, il servizio o i lavori per conto di questa Amministrazione;</w:t>
      </w:r>
    </w:p>
    <w:p w:rsidR="00A56BC5" w:rsidRDefault="00A56BC5" w:rsidP="00A56BC5">
      <w:pPr>
        <w:numPr>
          <w:ilvl w:val="0"/>
          <w:numId w:val="3"/>
        </w:numPr>
        <w:jc w:val="both"/>
        <w:rPr>
          <w:rFonts w:ascii="Times New Roman" w:hAnsi="Times New Roman"/>
          <w:sz w:val="24"/>
          <w:szCs w:val="24"/>
        </w:rPr>
      </w:pPr>
      <w:r>
        <w:rPr>
          <w:rFonts w:ascii="Times New Roman" w:hAnsi="Times New Roman"/>
          <w:sz w:val="24"/>
          <w:szCs w:val="24"/>
        </w:rPr>
        <w:t>il conferimento dei dati ha natura facoltativa, e si configura più esattamente come onere, nel senso che l’operatore economico, ai fini dell’iscrizione al predetto Albo, deve rendere la documentazione richiesta da questa Amministrazione in base alla normativa vigente;</w:t>
      </w:r>
    </w:p>
    <w:p w:rsidR="00A56BC5" w:rsidRDefault="00A56BC5" w:rsidP="00A56BC5">
      <w:pPr>
        <w:numPr>
          <w:ilvl w:val="0"/>
          <w:numId w:val="3"/>
        </w:numPr>
        <w:jc w:val="both"/>
        <w:rPr>
          <w:rFonts w:ascii="Times New Roman" w:hAnsi="Times New Roman"/>
          <w:sz w:val="24"/>
          <w:szCs w:val="24"/>
        </w:rPr>
      </w:pPr>
      <w:r>
        <w:rPr>
          <w:rFonts w:ascii="Times New Roman" w:hAnsi="Times New Roman"/>
          <w:sz w:val="24"/>
          <w:szCs w:val="24"/>
        </w:rPr>
        <w:t>la conseguenza di un eventuale rifiuto di rispondere consiste nell’esclusione dalla procedura di affidamento;</w:t>
      </w:r>
    </w:p>
    <w:p w:rsidR="00A56BC5" w:rsidRDefault="00A56BC5" w:rsidP="00A56BC5">
      <w:pPr>
        <w:numPr>
          <w:ilvl w:val="0"/>
          <w:numId w:val="3"/>
        </w:numPr>
        <w:jc w:val="both"/>
        <w:rPr>
          <w:rFonts w:ascii="Times New Roman" w:hAnsi="Times New Roman"/>
          <w:sz w:val="24"/>
          <w:szCs w:val="24"/>
        </w:rPr>
      </w:pPr>
      <w:r>
        <w:rPr>
          <w:rFonts w:ascii="Times New Roman" w:hAnsi="Times New Roman"/>
          <w:sz w:val="24"/>
          <w:szCs w:val="24"/>
        </w:rPr>
        <w:t xml:space="preserve">i soggetti o le categorie di soggetti ai quali i dati possono essere comunicati sono: 1) il personale interno dell’Amministrazione implicato nel procedimento; 2) gli altri operatori selezionati per la medesima procedura; 3) l’Osservatorio sui Contratti Pubblici; 4) ogni altro soggetto che abbia interesse ai sensi della legge 7 agosto 1990 n. 241 e </w:t>
      </w:r>
      <w:proofErr w:type="spellStart"/>
      <w:r>
        <w:rPr>
          <w:rFonts w:ascii="Times New Roman" w:hAnsi="Times New Roman"/>
          <w:sz w:val="24"/>
          <w:szCs w:val="24"/>
        </w:rPr>
        <w:t>s.m.i.</w:t>
      </w:r>
      <w:proofErr w:type="spellEnd"/>
      <w:r>
        <w:rPr>
          <w:rFonts w:ascii="Times New Roman" w:hAnsi="Times New Roman"/>
          <w:sz w:val="24"/>
          <w:szCs w:val="24"/>
        </w:rPr>
        <w:t>;</w:t>
      </w:r>
    </w:p>
    <w:p w:rsidR="00A56BC5" w:rsidRDefault="00A56BC5" w:rsidP="00A56BC5">
      <w:pPr>
        <w:numPr>
          <w:ilvl w:val="0"/>
          <w:numId w:val="3"/>
        </w:numPr>
        <w:jc w:val="both"/>
        <w:rPr>
          <w:rFonts w:ascii="Times New Roman" w:hAnsi="Times New Roman"/>
          <w:sz w:val="24"/>
          <w:szCs w:val="24"/>
        </w:rPr>
      </w:pPr>
      <w:r>
        <w:rPr>
          <w:rFonts w:ascii="Times New Roman" w:hAnsi="Times New Roman"/>
          <w:sz w:val="24"/>
          <w:szCs w:val="24"/>
        </w:rPr>
        <w:t xml:space="preserve">i diritti spettanti all’interessato sono quelli di cui all’art. 7 del </w:t>
      </w:r>
      <w:proofErr w:type="spellStart"/>
      <w:r>
        <w:rPr>
          <w:rFonts w:ascii="Times New Roman" w:hAnsi="Times New Roman"/>
          <w:sz w:val="24"/>
          <w:szCs w:val="24"/>
        </w:rPr>
        <w:t>D.Lgs.</w:t>
      </w:r>
      <w:proofErr w:type="spellEnd"/>
      <w:r>
        <w:rPr>
          <w:rFonts w:ascii="Times New Roman" w:hAnsi="Times New Roman"/>
          <w:sz w:val="24"/>
          <w:szCs w:val="24"/>
        </w:rPr>
        <w:t xml:space="preserve"> 196/2003 medesimo, cui si rinvia;</w:t>
      </w:r>
    </w:p>
    <w:p w:rsidR="00A56BC5" w:rsidRPr="00987DD0" w:rsidRDefault="00A56BC5" w:rsidP="00A56BC5">
      <w:pPr>
        <w:numPr>
          <w:ilvl w:val="0"/>
          <w:numId w:val="3"/>
        </w:numPr>
        <w:jc w:val="both"/>
        <w:rPr>
          <w:rFonts w:ascii="Times New Roman" w:hAnsi="Times New Roman"/>
          <w:sz w:val="24"/>
          <w:szCs w:val="24"/>
        </w:rPr>
      </w:pPr>
      <w:r>
        <w:rPr>
          <w:rFonts w:ascii="Times New Roman" w:hAnsi="Times New Roman"/>
          <w:sz w:val="24"/>
          <w:szCs w:val="24"/>
        </w:rPr>
        <w:t>soggetto attivo della raccolta dei dati è il Consiglio regionale della Calabria.</w:t>
      </w:r>
    </w:p>
    <w:p w:rsidR="00A56BC5" w:rsidRDefault="00A56BC5" w:rsidP="00A56BC5">
      <w:pPr>
        <w:jc w:val="both"/>
        <w:rPr>
          <w:rFonts w:ascii="Times New Roman" w:hAnsi="Times New Roman"/>
          <w:sz w:val="24"/>
          <w:szCs w:val="24"/>
        </w:rPr>
      </w:pPr>
    </w:p>
    <w:p w:rsidR="00A56BC5" w:rsidRDefault="00A56BC5" w:rsidP="00A56BC5">
      <w:pPr>
        <w:jc w:val="both"/>
        <w:rPr>
          <w:rFonts w:ascii="Times New Roman" w:hAnsi="Times New Roman"/>
          <w:sz w:val="24"/>
          <w:szCs w:val="24"/>
        </w:rPr>
      </w:pPr>
    </w:p>
    <w:p w:rsidR="00A56BC5" w:rsidRPr="009C3A02" w:rsidRDefault="00A56BC5" w:rsidP="00A56BC5">
      <w:pPr>
        <w:jc w:val="both"/>
        <w:rPr>
          <w:rFonts w:ascii="Times New Roman" w:hAnsi="Times New Roman"/>
          <w:sz w:val="24"/>
          <w:szCs w:val="24"/>
        </w:rPr>
      </w:pPr>
    </w:p>
    <w:p w:rsidR="00B236FE" w:rsidRPr="00B236FE" w:rsidRDefault="00B236FE" w:rsidP="00B236FE">
      <w:pPr>
        <w:jc w:val="both"/>
        <w:rPr>
          <w:rFonts w:ascii="Times New Roman" w:hAnsi="Times New Roman"/>
          <w:sz w:val="28"/>
          <w:szCs w:val="28"/>
        </w:rPr>
      </w:pPr>
    </w:p>
    <w:p w:rsidR="008B3AC5" w:rsidRDefault="008B3AC5"/>
    <w:sectPr w:rsidR="008B3AC5" w:rsidSect="008B3AC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061" w:rsidRDefault="000F2061" w:rsidP="00B236FE">
      <w:pPr>
        <w:spacing w:after="0" w:line="240" w:lineRule="auto"/>
      </w:pPr>
      <w:r>
        <w:separator/>
      </w:r>
    </w:p>
  </w:endnote>
  <w:endnote w:type="continuationSeparator" w:id="0">
    <w:p w:rsidR="000F2061" w:rsidRDefault="000F2061" w:rsidP="00B23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nglish">
    <w:panose1 w:val="00000000000000000000"/>
    <w:charset w:val="00"/>
    <w:family w:val="auto"/>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5525"/>
      <w:docPartObj>
        <w:docPartGallery w:val="Page Numbers (Bottom of Page)"/>
        <w:docPartUnique/>
      </w:docPartObj>
    </w:sdtPr>
    <w:sdtContent>
      <w:p w:rsidR="00B236FE" w:rsidRDefault="00C17B9E">
        <w:pPr>
          <w:pStyle w:val="Pidipagina"/>
          <w:jc w:val="right"/>
        </w:pPr>
        <w:fldSimple w:instr=" PAGE   \* MERGEFORMAT ">
          <w:r w:rsidR="00662949">
            <w:rPr>
              <w:noProof/>
            </w:rPr>
            <w:t>1</w:t>
          </w:r>
        </w:fldSimple>
      </w:p>
    </w:sdtContent>
  </w:sdt>
  <w:p w:rsidR="00B236FE" w:rsidRDefault="00B236F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061" w:rsidRDefault="000F2061" w:rsidP="00B236FE">
      <w:pPr>
        <w:spacing w:after="0" w:line="240" w:lineRule="auto"/>
      </w:pPr>
      <w:r>
        <w:separator/>
      </w:r>
    </w:p>
  </w:footnote>
  <w:footnote w:type="continuationSeparator" w:id="0">
    <w:p w:rsidR="000F2061" w:rsidRDefault="000F2061" w:rsidP="00B23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FE" w:rsidRPr="00915B91" w:rsidRDefault="00B236FE" w:rsidP="00B236FE">
    <w:pPr>
      <w:tabs>
        <w:tab w:val="left" w:pos="3480"/>
      </w:tabs>
      <w:spacing w:before="40"/>
      <w:jc w:val="center"/>
      <w:rPr>
        <w:rFonts w:ascii="English" w:hAnsi="English" w:cs="Calibri"/>
        <w:color w:val="000000"/>
        <w:sz w:val="36"/>
        <w:szCs w:val="36"/>
      </w:rPr>
    </w:pPr>
    <w:r>
      <w:rPr>
        <w:rFonts w:ascii="English" w:hAnsi="English" w:cs="Calibri"/>
        <w:noProof/>
        <w:color w:val="000000"/>
        <w:sz w:val="36"/>
        <w:szCs w:val="36"/>
        <w:lang w:eastAsia="it-IT"/>
      </w:rPr>
      <w:drawing>
        <wp:inline distT="0" distB="0" distL="0" distR="0">
          <wp:extent cx="390525" cy="442595"/>
          <wp:effectExtent l="19050" t="0" r="9525" b="0"/>
          <wp:docPr id="1" name="Immagine 1" descr="logo-regione-calabria-276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regione-calabria-276x300"/>
                  <pic:cNvPicPr>
                    <a:picLocks noChangeAspect="1" noChangeArrowheads="1"/>
                  </pic:cNvPicPr>
                </pic:nvPicPr>
                <pic:blipFill>
                  <a:blip r:embed="rId1"/>
                  <a:srcRect/>
                  <a:stretch>
                    <a:fillRect/>
                  </a:stretch>
                </pic:blipFill>
                <pic:spPr bwMode="auto">
                  <a:xfrm>
                    <a:off x="0" y="0"/>
                    <a:ext cx="390525" cy="442595"/>
                  </a:xfrm>
                  <a:prstGeom prst="rect">
                    <a:avLst/>
                  </a:prstGeom>
                  <a:noFill/>
                  <a:ln w="9525">
                    <a:noFill/>
                    <a:miter lim="800000"/>
                    <a:headEnd/>
                    <a:tailEnd/>
                  </a:ln>
                </pic:spPr>
              </pic:pic>
            </a:graphicData>
          </a:graphic>
        </wp:inline>
      </w:drawing>
    </w:r>
  </w:p>
  <w:p w:rsidR="00B236FE" w:rsidRPr="00915B91" w:rsidRDefault="00B236FE" w:rsidP="00B236FE">
    <w:pPr>
      <w:tabs>
        <w:tab w:val="left" w:pos="3480"/>
      </w:tabs>
      <w:jc w:val="center"/>
      <w:rPr>
        <w:rFonts w:ascii="Trebuchet MS" w:hAnsi="Trebuchet MS" w:cs="Calibri"/>
        <w:bCs/>
        <w:iCs/>
        <w:caps/>
        <w:color w:val="000000"/>
        <w:sz w:val="16"/>
        <w:szCs w:val="16"/>
      </w:rPr>
    </w:pPr>
    <w:r w:rsidRPr="00915B91">
      <w:rPr>
        <w:rFonts w:ascii="English" w:hAnsi="English" w:cs="Calibri"/>
        <w:color w:val="000000"/>
        <w:sz w:val="36"/>
        <w:szCs w:val="36"/>
      </w:rPr>
      <w:t>Consiglio regionale della Calabria</w:t>
    </w:r>
  </w:p>
  <w:p w:rsidR="00B236FE" w:rsidRPr="00915B91" w:rsidRDefault="00B236FE" w:rsidP="00B236FE">
    <w:pPr>
      <w:tabs>
        <w:tab w:val="left" w:pos="3480"/>
      </w:tabs>
      <w:spacing w:after="0" w:line="240" w:lineRule="auto"/>
      <w:jc w:val="center"/>
      <w:rPr>
        <w:rFonts w:ascii="Trebuchet MS" w:hAnsi="Trebuchet MS" w:cs="Calibri"/>
        <w:bCs/>
        <w:iCs/>
        <w:caps/>
        <w:color w:val="000000"/>
        <w:sz w:val="16"/>
        <w:szCs w:val="10"/>
      </w:rPr>
    </w:pPr>
    <w:r w:rsidRPr="00915B91">
      <w:rPr>
        <w:rFonts w:ascii="Trebuchet MS" w:hAnsi="Trebuchet MS" w:cs="Calibri"/>
        <w:bCs/>
        <w:iCs/>
        <w:caps/>
        <w:color w:val="000000"/>
        <w:sz w:val="16"/>
        <w:szCs w:val="10"/>
      </w:rPr>
      <w:t xml:space="preserve">Provveditorato ed Economato E CONTRATTI </w:t>
    </w:r>
  </w:p>
  <w:p w:rsidR="00B236FE" w:rsidRPr="00915B91" w:rsidRDefault="00B236FE" w:rsidP="00B236FE">
    <w:pPr>
      <w:tabs>
        <w:tab w:val="left" w:pos="3480"/>
      </w:tabs>
      <w:spacing w:after="0" w:line="240" w:lineRule="auto"/>
      <w:jc w:val="center"/>
      <w:rPr>
        <w:rFonts w:ascii="Trebuchet MS" w:hAnsi="Trebuchet MS" w:cs="Calibri"/>
        <w:bCs/>
        <w:i/>
        <w:iCs/>
        <w:smallCaps/>
        <w:color w:val="000000"/>
        <w:sz w:val="16"/>
      </w:rPr>
    </w:pPr>
  </w:p>
  <w:p w:rsidR="00B236FE" w:rsidRDefault="00B236FE">
    <w:pPr>
      <w:pStyle w:val="Intestazione"/>
    </w:pPr>
  </w:p>
  <w:p w:rsidR="00B236FE" w:rsidRDefault="00B236F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35AC"/>
    <w:multiLevelType w:val="hybridMultilevel"/>
    <w:tmpl w:val="27CAF134"/>
    <w:lvl w:ilvl="0" w:tplc="B6127126">
      <w:start w:val="1"/>
      <w:numFmt w:val="bullet"/>
      <w:lvlText w:val="-"/>
      <w:lvlJc w:val="left"/>
      <w:pPr>
        <w:ind w:left="1440" w:hanging="360"/>
      </w:pPr>
      <w:rPr>
        <w:rFonts w:ascii="Times New Roman" w:eastAsia="Calibri" w:hAnsi="Times New Roman" w:cs="Times New Roman"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BDB1DA4"/>
    <w:multiLevelType w:val="hybridMultilevel"/>
    <w:tmpl w:val="691012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326550E"/>
    <w:multiLevelType w:val="hybridMultilevel"/>
    <w:tmpl w:val="9B6AD8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283"/>
  <w:characterSpacingControl w:val="doNotCompress"/>
  <w:footnotePr>
    <w:footnote w:id="-1"/>
    <w:footnote w:id="0"/>
  </w:footnotePr>
  <w:endnotePr>
    <w:endnote w:id="-1"/>
    <w:endnote w:id="0"/>
  </w:endnotePr>
  <w:compat/>
  <w:rsids>
    <w:rsidRoot w:val="00B236FE"/>
    <w:rsid w:val="000D6DFA"/>
    <w:rsid w:val="000F2061"/>
    <w:rsid w:val="00421DF7"/>
    <w:rsid w:val="00662949"/>
    <w:rsid w:val="006A68E3"/>
    <w:rsid w:val="00875991"/>
    <w:rsid w:val="008B3AC5"/>
    <w:rsid w:val="00966131"/>
    <w:rsid w:val="009872D5"/>
    <w:rsid w:val="00A53E5B"/>
    <w:rsid w:val="00A56BC5"/>
    <w:rsid w:val="00B236FE"/>
    <w:rsid w:val="00C17B9E"/>
    <w:rsid w:val="00C513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6F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36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36FE"/>
    <w:rPr>
      <w:rFonts w:ascii="Calibri" w:eastAsia="Calibri" w:hAnsi="Calibri" w:cs="Times New Roman"/>
    </w:rPr>
  </w:style>
  <w:style w:type="paragraph" w:styleId="Pidipagina">
    <w:name w:val="footer"/>
    <w:basedOn w:val="Normale"/>
    <w:link w:val="PidipaginaCarattere"/>
    <w:uiPriority w:val="99"/>
    <w:unhideWhenUsed/>
    <w:rsid w:val="00B236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36FE"/>
    <w:rPr>
      <w:rFonts w:ascii="Calibri" w:eastAsia="Calibri" w:hAnsi="Calibri" w:cs="Times New Roman"/>
    </w:rPr>
  </w:style>
  <w:style w:type="paragraph" w:styleId="Testofumetto">
    <w:name w:val="Balloon Text"/>
    <w:basedOn w:val="Normale"/>
    <w:link w:val="TestofumettoCarattere"/>
    <w:uiPriority w:val="99"/>
    <w:semiHidden/>
    <w:unhideWhenUsed/>
    <w:rsid w:val="00B236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36F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rosaria.barila</dc:creator>
  <cp:lastModifiedBy>rosaria.barila</cp:lastModifiedBy>
  <cp:revision>6</cp:revision>
  <cp:lastPrinted>2018-05-21T10:52:00Z</cp:lastPrinted>
  <dcterms:created xsi:type="dcterms:W3CDTF">2018-05-21T07:20:00Z</dcterms:created>
  <dcterms:modified xsi:type="dcterms:W3CDTF">2018-06-18T10:14:00Z</dcterms:modified>
</cp:coreProperties>
</file>